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220千伏南沙港铁路牵引站配套线路工程（第二分册） 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广供电基〔2024〕153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穗发改核准〔2021〕32号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广供电资〔2024〕57号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广州市南沙区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bidi="ar-SA"/>
              </w:rPr>
              <w:t>广州电力设计院有限公司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snapToGrid w:val="0"/>
                <w:color w:val="auto"/>
                <w:kern w:val="0"/>
                <w:sz w:val="24"/>
                <w:szCs w:val="24"/>
                <w:highlight w:val="none"/>
                <w:u w:val="single"/>
                <w:vertAlign w:val="baseline"/>
                <w:lang w:val="en-US" w:eastAsia="zh-CN"/>
              </w:rPr>
              <w:t>合同签订之日起至2027年06月30日，实际工期以开工报告、竣工报告为准。</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1．对侧变电站工程</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（1）220kV合兴站扩建间隔工程</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扩建一个220kV GIS架空出线间隔至220kV重基站，前期已经预留间隔位置，本期需要扩建相应的电气设备。另在合兴站220kV 1M、2M侧扩建一个母联间隔。</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（2）220kV重基站扩建间隔工程</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扩建一个220kV GIS架空出线间隔至220kV合兴站。前期已经预留间隔位置，本期需要扩建相应的电气设备。</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（3）110kV横沥站改造工程</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将横沥站两回架空出线调整为电缆出线，站内需配合线路新增两组110kV电缆终端，并新增110kV电缆沟：</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本期新建 220kV合兴至重基线路 1 回。 另根据初设批复，配套改造 110kV重远兴线横沥甲乙支线、110kV重远兴甲乙线#11～#20 段线路。 </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（1）220kV合重甲线</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利用220kV合重乙线#47～#56段合重乙线侧下回备用回路新建单回路导线长2.561km，新建220kV合重甲线（狮重乙线#10～A1段，含狮重乙线1回）双回架空线路长0.159km，恢复220kV狮重甲线#11～A1段单回架空线路长0.05km，恢复220kV狮重甲乙线A1～#12段双回架空线路长0.059km，新建220kV合重甲线A1～A2段单回架空线路长0.072km，新建220kV合重甲线A2～重基站构架段（含恢复重侨线1回）双回架空线路长0.059km。新建线路导线采用2×JL/LB20A-630/45型铝包钢芯铝绞线，地线为1根96芯OPGW光缆，1根为JLB40-150型铝包钢绞线。</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拆除220kV狮重甲线#11～#12段单回导线长0.109km，拆除220kV狮重乙线#10～#12段单回线路导线路径长0.285km，拆除220kV合重乙线#66～重基站构架段（与220kV重侨线同塔，重侨线#2～重基站构架段）双回架空线路长0.155km。拆除双回路钢管杆2基。</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（2）恢复220kV合重乙线、220kV重侨线</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因新建合兴至重基单回线路（合重甲线）需调整现重基站内 220kV出线间隔，改建重基站外合重乙线、重侨线进线档线路。</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恢复220kV重侨线#2～A2段单回架空线路长0.093km，恢复220kV合重乙线#66～A3～重基站构架段单回架空线路长0.154km。新建线路导线采用2×JL/LB20A-630/45型铝包钢芯铝绞线，地线为1根96芯OPGW光缆，1根为JLB40-150型铝包钢绞线。 </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（3）110kV重远兴甲乙线#11～#20 段迁改工程</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自重远兴甲乙线#9至#22止。新建110kV重远兴甲乙线G0～G1～500kV狮文甲乙线#14～G2～狮文甲乙线#18～G3～G4段双回线路长2.254km（部分利用500kV狮文甲乙线预留回路挂线)。新建线路导线采用1×JL/LB20A-630/45型铝包钢芯铝绞线。110kV重远兴甲乙线G1～500kV狮文甲乙线#14～G2～狮文甲乙线#18段无新建地线；G3～G4段配置2根地线，路径长0.118km，2根地线均采用JLB40-100型铝包钢绞线。</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重远兴甲乙线#9～G0塔、G4塔～#22塔段更换双回线路导地线0.718km。更换段线路导线采用1×JL/LB20A-240/40型铝包钢芯铝绞线，地线为1根48芯OPGW光缆，1根为JLB40-100型铝包钢绞线。</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拆除110kV重远兴甲乙线#09～#22段双回路导线及1根普通地线线路长3.22km。为保持原有OPGW通信通道,保留110kV重远兴甲乙线#12-#14、#19-#20塔，拆除110kV重远兴甲乙线#10、#11塔。</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（4）110kV横沥站T接110kV重远兴甲乙线双回电缆线路</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自横沥站至原狮文甲乙线#16 附近新建电缆终端塔G2，新建双回电缆线路长0.343km，新建横沥T接110kV重远兴甲线电缆线路长1×0.35km，新建横沥T接110kV重远兴甲线电缆线路长1×0.36km。新建线路电缆型号为 YJLW03-Z 64/110 1×1200</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w:t>
      </w:r>
      <w:r>
        <w:rPr>
          <w:rFonts w:hint="eastAsia" w:asciiTheme="minorEastAsia" w:hAnsiTheme="minorEastAsia" w:eastAsiaTheme="minorEastAsia" w:cstheme="minorEastAsia"/>
          <w:b/>
          <w:sz w:val="24"/>
          <w:szCs w:val="24"/>
          <w:highlight w:val="none"/>
          <w:lang w:eastAsia="zh-CN"/>
        </w:rPr>
        <w:t>通信</w:t>
      </w:r>
      <w:r>
        <w:rPr>
          <w:rFonts w:hint="eastAsia" w:asciiTheme="minorEastAsia" w:hAnsiTheme="minorEastAsia" w:eastAsiaTheme="minorEastAsia" w:cstheme="minorEastAsia"/>
          <w:b/>
          <w:sz w:val="24"/>
          <w:szCs w:val="24"/>
          <w:highlight w:val="none"/>
        </w:rPr>
        <w:t>部分</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（1）光缆建设</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新建狮重甲乙线#10～A1～#12～重基站构架段地线采用1根96芯OPGW光缆，恢复重基站-狮洋站原有36芯光缆路由。</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新建220kV合重乙线#66（重侨线#2）～A2～重基站构架段地线1根96芯OPGW，恢复侨农站～重基站12芯光缆、合兴站～重基站24芯光缆路由。</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新建110kV重远兴甲乙线#09～G1、G4～#22段地线1根48芯OPGW，恢复重基站～横沥站12芯光缆、远安站～横沥站12芯光缆路由。</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（2）通信设备</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合兴站、重基站传输新网B设备分别新增1块2M光接口板。</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rPr>
        <w:t>采用2套租用波分设备作为光缆中断期间业务通道恢复</w:t>
      </w:r>
      <w:r>
        <w:rPr>
          <w:rFonts w:hint="eastAsia" w:asciiTheme="minorEastAsia" w:hAnsiTheme="minorEastAsia" w:eastAsiaTheme="minorEastAsia" w:cstheme="minorEastAsia"/>
          <w:bCs/>
          <w:sz w:val="24"/>
          <w:szCs w:val="24"/>
          <w:highlight w:val="none"/>
          <w:lang w:eastAsia="zh-CN"/>
        </w:rPr>
        <w:t>。</w:t>
      </w:r>
    </w:p>
    <w:p>
      <w:pPr>
        <w:keepNext w:val="0"/>
        <w:keepLines w:val="0"/>
        <w:pageBreakBefore w:val="0"/>
        <w:widowControl w:val="0"/>
        <w:shd w:val="clear" w:color="auto" w:fill="auto"/>
        <w:kinsoku/>
        <w:wordWrap/>
        <w:overflowPunct/>
        <w:topLinePunct w:val="0"/>
        <w:autoSpaceDE/>
        <w:autoSpaceDN/>
        <w:bidi w:val="0"/>
        <w:snapToGrid/>
        <w:spacing w:before="157" w:beforeLines="50" w:after="157" w:afterLines="50" w:line="360" w:lineRule="auto"/>
        <w:ind w:firstLine="482" w:firstLineChars="200"/>
        <w:textAlignment w:val="auto"/>
        <w:rPr>
          <w:rFonts w:hint="eastAsia" w:asciiTheme="minorEastAsia" w:hAnsiTheme="minorEastAsia" w:eastAsiaTheme="minorEastAsia" w:cstheme="minorEastAsia"/>
          <w:bCs/>
          <w:sz w:val="24"/>
          <w:szCs w:val="24"/>
          <w:highlight w:val="none"/>
          <w:lang w:eastAsia="zh-CN"/>
        </w:rPr>
      </w:pPr>
      <w:r>
        <w:rPr>
          <w:rFonts w:hint="default" w:ascii="Times New Roman" w:hAnsi="Times New Roman" w:cs="Times New Roman" w:eastAsiaTheme="minorEastAsia"/>
          <w:b/>
          <w:bCs/>
          <w:i w:val="0"/>
          <w:iCs/>
          <w:color w:val="auto"/>
          <w:kern w:val="2"/>
          <w:sz w:val="24"/>
          <w:szCs w:val="24"/>
          <w:highlight w:val="none"/>
          <w:u w:val="none"/>
          <w:lang w:val="en-US" w:eastAsia="zh-CN" w:bidi="ar-SA"/>
        </w:rPr>
        <w:t>具体规模以施工图为准。</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bottom w:val="single" w:color="auto" w:sz="4" w:space="0"/>
            </w:tcBorders>
            <w:noWrap w:val="0"/>
            <w:vAlign w:val="center"/>
          </w:tcPr>
          <w:p>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一</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hAnsi="宋体"/>
                <w:color w:val="auto"/>
                <w:highlight w:val="none"/>
                <w:u w:val="single"/>
              </w:rPr>
            </w:pPr>
            <w:r>
              <w:rPr>
                <w:rFonts w:hint="eastAsia" w:ascii="宋体" w:hAnsi="宋体" w:eastAsia="宋体" w:cs="宋体"/>
                <w:b/>
                <w:bCs/>
                <w:i w:val="0"/>
                <w:iCs w:val="0"/>
                <w:color w:val="000000"/>
                <w:kern w:val="0"/>
                <w:sz w:val="21"/>
                <w:szCs w:val="21"/>
                <w:u w:val="none"/>
                <w:lang w:val="en-US" w:eastAsia="zh-CN" w:bidi="ar"/>
              </w:rPr>
              <w:t>变电工程</w:t>
            </w:r>
          </w:p>
        </w:tc>
        <w:tc>
          <w:tcPr>
            <w:tcW w:w="1519" w:type="dxa"/>
            <w:noWrap w:val="0"/>
            <w:vAlign w:val="center"/>
          </w:tcPr>
          <w:p>
            <w:pPr>
              <w:keepNext w:val="0"/>
              <w:keepLines w:val="0"/>
              <w:widowControl/>
              <w:suppressLineNumbers w:val="0"/>
              <w:jc w:val="center"/>
              <w:textAlignment w:val="center"/>
              <w:rPr>
                <w:rFonts w:hint="default" w:ascii="宋体" w:hAnsi="宋体"/>
                <w:color w:val="auto"/>
                <w:highlight w:val="none"/>
                <w:lang w:val="en-US"/>
              </w:rPr>
            </w:pPr>
            <w:r>
              <w:rPr>
                <w:rFonts w:hint="eastAsia" w:ascii="宋体" w:hAnsi="宋体" w:eastAsia="宋体" w:cs="宋体"/>
                <w:i w:val="0"/>
                <w:iCs w:val="0"/>
                <w:color w:val="000000"/>
                <w:kern w:val="0"/>
                <w:sz w:val="22"/>
                <w:szCs w:val="22"/>
                <w:u w:val="none"/>
                <w:lang w:val="en-US" w:eastAsia="zh-CN" w:bidi="ar"/>
              </w:rPr>
              <w:t>106400</w:t>
            </w:r>
          </w:p>
        </w:tc>
        <w:tc>
          <w:tcPr>
            <w:tcW w:w="1033" w:type="dxa"/>
            <w:vMerge w:val="restart"/>
            <w:tcBorders>
              <w:top w:val="single" w:color="auto" w:sz="4" w:space="0"/>
            </w:tcBorders>
            <w:noWrap w:val="0"/>
            <w:vAlign w:val="center"/>
          </w:tcPr>
          <w:p>
            <w:pPr>
              <w:tabs>
                <w:tab w:val="left" w:pos="900"/>
              </w:tabs>
              <w:snapToGrid w:val="0"/>
              <w:spacing w:before="60" w:after="120"/>
              <w:ind w:right="-24"/>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none"/>
                <w:lang w:val="en-US" w:eastAsia="zh-CN"/>
              </w:rPr>
              <w:t>%</w:t>
            </w: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color w:val="000000"/>
                <w:sz w:val="21"/>
                <w:szCs w:val="21"/>
                <w:u w:val="none"/>
                <w:lang w:val="en-US" w:eastAsia="zh-CN"/>
              </w:rPr>
              <w:t>1</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i w:val="0"/>
                <w:color w:val="000000"/>
                <w:sz w:val="21"/>
                <w:szCs w:val="21"/>
                <w:u w:val="none"/>
              </w:rPr>
              <w:t>220kV合兴变电站扩建间隔</w:t>
            </w:r>
          </w:p>
        </w:tc>
        <w:tc>
          <w:tcPr>
            <w:tcW w:w="1519" w:type="dxa"/>
            <w:noWrap w:val="0"/>
            <w:vAlign w:val="center"/>
          </w:tcPr>
          <w:p>
            <w:pPr>
              <w:keepNext w:val="0"/>
              <w:keepLines w:val="0"/>
              <w:widowControl/>
              <w:suppressLineNumbers w:val="0"/>
              <w:jc w:val="center"/>
              <w:textAlignment w:val="center"/>
              <w:rPr>
                <w:rFonts w:hint="default" w:ascii="宋体" w:hAnsi="宋体"/>
                <w:color w:val="auto"/>
                <w:highlight w:val="none"/>
                <w:lang w:val="en-US"/>
              </w:rPr>
            </w:pPr>
            <w:r>
              <w:rPr>
                <w:rFonts w:hint="eastAsia" w:ascii="宋体" w:hAnsi="宋体" w:eastAsia="宋体" w:cs="宋体"/>
                <w:i w:val="0"/>
                <w:iCs w:val="0"/>
                <w:color w:val="000000"/>
                <w:kern w:val="0"/>
                <w:sz w:val="22"/>
                <w:szCs w:val="22"/>
                <w:u w:val="none"/>
                <w:lang w:val="en-US" w:eastAsia="zh-CN" w:bidi="ar"/>
              </w:rPr>
              <w:t>41800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bCs/>
                <w:color w:val="auto"/>
                <w:sz w:val="21"/>
                <w:szCs w:val="21"/>
                <w:lang w:val="en-US" w:eastAsia="zh-CN"/>
              </w:rPr>
              <w:t>220kV重基变电站扩建间隔</w:t>
            </w:r>
          </w:p>
        </w:tc>
        <w:tc>
          <w:tcPr>
            <w:tcW w:w="1519" w:type="dxa"/>
            <w:noWrap w:val="0"/>
            <w:vAlign w:val="center"/>
          </w:tcPr>
          <w:p>
            <w:pPr>
              <w:keepNext w:val="0"/>
              <w:keepLines w:val="0"/>
              <w:widowControl/>
              <w:suppressLineNumbers w:val="0"/>
              <w:jc w:val="center"/>
              <w:textAlignment w:val="center"/>
              <w:rPr>
                <w:rFonts w:hint="default" w:ascii="宋体" w:hAnsi="宋体"/>
                <w:color w:val="auto"/>
                <w:highlight w:val="none"/>
                <w:lang w:val="en-US"/>
              </w:rPr>
            </w:pPr>
            <w:r>
              <w:rPr>
                <w:rFonts w:hint="eastAsia" w:ascii="宋体" w:hAnsi="宋体" w:eastAsia="宋体" w:cs="宋体"/>
                <w:i w:val="0"/>
                <w:iCs w:val="0"/>
                <w:color w:val="000000"/>
                <w:kern w:val="0"/>
                <w:sz w:val="22"/>
                <w:szCs w:val="22"/>
                <w:u w:val="none"/>
                <w:lang w:val="en-US" w:eastAsia="zh-CN" w:bidi="ar"/>
              </w:rPr>
              <w:t>24900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3</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bCs/>
                <w:color w:val="auto"/>
                <w:sz w:val="21"/>
                <w:szCs w:val="21"/>
                <w:lang w:val="en-US" w:eastAsia="zh-CN"/>
              </w:rPr>
              <w:t>110kV横沥变电站改造</w:t>
            </w:r>
          </w:p>
        </w:tc>
        <w:tc>
          <w:tcPr>
            <w:tcW w:w="1519" w:type="dxa"/>
            <w:noWrap w:val="0"/>
            <w:vAlign w:val="center"/>
          </w:tcPr>
          <w:p>
            <w:pPr>
              <w:keepNext w:val="0"/>
              <w:keepLines w:val="0"/>
              <w:widowControl/>
              <w:suppressLineNumbers w:val="0"/>
              <w:jc w:val="center"/>
              <w:textAlignment w:val="center"/>
              <w:rPr>
                <w:rFonts w:hint="default" w:ascii="宋体" w:hAnsi="宋体"/>
                <w:color w:val="auto"/>
                <w:highlight w:val="none"/>
                <w:lang w:val="en-US"/>
              </w:rPr>
            </w:pPr>
            <w:r>
              <w:rPr>
                <w:rFonts w:hint="eastAsia" w:ascii="宋体" w:hAnsi="宋体" w:eastAsia="宋体" w:cs="宋体"/>
                <w:i w:val="0"/>
                <w:iCs w:val="0"/>
                <w:color w:val="000000"/>
                <w:kern w:val="0"/>
                <w:sz w:val="22"/>
                <w:szCs w:val="22"/>
                <w:u w:val="none"/>
                <w:lang w:val="en-US" w:eastAsia="zh-CN" w:bidi="ar"/>
              </w:rPr>
              <w:t>39700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二</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hAnsi="宋体"/>
                <w:color w:val="auto"/>
                <w:highlight w:val="none"/>
                <w:u w:val="single"/>
              </w:rPr>
            </w:pPr>
            <w:r>
              <w:rPr>
                <w:rFonts w:hint="eastAsia" w:ascii="宋体" w:hAnsi="宋体" w:eastAsia="宋体" w:cs="宋体"/>
                <w:b/>
                <w:bCs/>
                <w:i w:val="0"/>
                <w:iCs w:val="0"/>
                <w:color w:val="000000"/>
                <w:kern w:val="0"/>
                <w:sz w:val="21"/>
                <w:szCs w:val="21"/>
                <w:u w:val="none"/>
                <w:lang w:val="en-US" w:eastAsia="zh-CN" w:bidi="ar"/>
              </w:rPr>
              <w:t>220kv线路工程</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274</w:t>
            </w:r>
            <w:r>
              <w:rPr>
                <w:rFonts w:hint="eastAsia" w:ascii="宋体" w:hAnsi="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i w:val="0"/>
                <w:color w:val="000000"/>
                <w:sz w:val="21"/>
                <w:szCs w:val="21"/>
                <w:u w:val="none"/>
              </w:rPr>
              <w:t>220kV合重甲线</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169</w:t>
            </w:r>
            <w:r>
              <w:rPr>
                <w:rFonts w:hint="eastAsia" w:ascii="宋体" w:hAnsi="宋体"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恢复220kV合重乙线、220kV重侨线</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104600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三</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b/>
                <w:bCs/>
                <w:i w:val="0"/>
                <w:iCs w:val="0"/>
                <w:color w:val="000000"/>
                <w:kern w:val="0"/>
                <w:sz w:val="21"/>
                <w:szCs w:val="21"/>
                <w:u w:val="none"/>
                <w:lang w:val="en-US" w:eastAsia="zh-CN" w:bidi="ar"/>
              </w:rPr>
              <w:t>110kv线路工程</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158000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110kV重远兴甲乙线#11～#20段迁改工程</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97000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110kV横沥站T接110kV重远兴甲乙线双回电缆线路</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61000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四</w:t>
            </w:r>
          </w:p>
        </w:tc>
        <w:tc>
          <w:tcPr>
            <w:tcW w:w="2242" w:type="dxa"/>
            <w:tcBorders>
              <w:top w:val="single" w:color="auto" w:sz="4" w:space="0"/>
              <w:bottom w:val="single" w:color="auto" w:sz="4" w:space="0"/>
            </w:tcBorders>
            <w:noWrap w:val="0"/>
            <w:vAlign w:val="center"/>
          </w:tcPr>
          <w:p>
            <w:pPr>
              <w:keepNext w:val="0"/>
              <w:keepLines w:val="0"/>
              <w:widowControl/>
              <w:suppressLineNumbers w:val="0"/>
              <w:jc w:val="both"/>
              <w:textAlignment w:val="center"/>
              <w:rPr>
                <w:rFonts w:hint="eastAsia" w:hAnsi="宋体"/>
                <w:color w:val="auto"/>
                <w:highlight w:val="none"/>
                <w:u w:val="single"/>
              </w:rPr>
            </w:pPr>
            <w:r>
              <w:rPr>
                <w:rFonts w:hint="eastAsia" w:ascii="宋体" w:hAnsi="宋体" w:eastAsia="宋体" w:cs="宋体"/>
                <w:b/>
                <w:bCs/>
                <w:i w:val="0"/>
                <w:iCs w:val="0"/>
                <w:color w:val="000000"/>
                <w:kern w:val="0"/>
                <w:sz w:val="21"/>
                <w:szCs w:val="21"/>
                <w:u w:val="none"/>
                <w:lang w:val="en-US" w:eastAsia="zh-CN" w:bidi="ar"/>
              </w:rPr>
              <w:t>通信工程</w:t>
            </w:r>
          </w:p>
        </w:tc>
        <w:tc>
          <w:tcPr>
            <w:tcW w:w="1519" w:type="dxa"/>
            <w:noWrap w:val="0"/>
            <w:vAlign w:val="center"/>
          </w:tcPr>
          <w:p>
            <w:pPr>
              <w:keepNext w:val="0"/>
              <w:keepLines w:val="0"/>
              <w:widowControl/>
              <w:suppressLineNumbers w:val="0"/>
              <w:jc w:val="center"/>
              <w:textAlignment w:val="center"/>
              <w:rPr>
                <w:rFonts w:hint="default" w:ascii="宋体" w:hAnsi="宋体"/>
                <w:color w:val="auto"/>
                <w:highlight w:val="none"/>
                <w:lang w:val="en-US"/>
              </w:rPr>
            </w:pPr>
            <w:r>
              <w:rPr>
                <w:rFonts w:hint="eastAsia" w:ascii="宋体" w:hAnsi="宋体" w:cs="宋体"/>
                <w:i w:val="0"/>
                <w:iCs w:val="0"/>
                <w:color w:val="000000"/>
                <w:kern w:val="0"/>
                <w:sz w:val="22"/>
                <w:szCs w:val="22"/>
                <w:u w:val="none"/>
                <w:lang w:val="en-US" w:eastAsia="zh-CN" w:bidi="ar"/>
              </w:rPr>
              <w:t>7000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gridSpan w:val="2"/>
            <w:tcBorders>
              <w:top w:val="single" w:color="000000" w:sz="4" w:space="0"/>
              <w:left w:val="single" w:color="000000" w:sz="4" w:space="0"/>
              <w:bottom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b/>
                <w:color w:val="auto"/>
                <w:szCs w:val="21"/>
                <w:highlight w:val="none"/>
              </w:rPr>
              <w:t>投标报价总金额(大写)</w:t>
            </w:r>
          </w:p>
        </w:tc>
        <w:tc>
          <w:tcPr>
            <w:tcW w:w="1519" w:type="dxa"/>
            <w:tcBorders>
              <w:top w:val="single" w:color="000000" w:sz="4" w:space="0"/>
              <w:bottom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r>
              <w:rPr>
                <w:rFonts w:hint="eastAsia" w:ascii="宋体" w:hAnsi="宋体" w:cs="宋体"/>
                <w:i w:val="0"/>
                <w:iCs w:val="0"/>
                <w:color w:val="000000"/>
                <w:kern w:val="0"/>
                <w:sz w:val="22"/>
                <w:szCs w:val="22"/>
                <w:u w:val="none"/>
                <w:lang w:val="en-US" w:eastAsia="zh-CN" w:bidi="ar"/>
              </w:rPr>
              <w:t>45</w:t>
            </w:r>
            <w:r>
              <w:rPr>
                <w:rFonts w:hint="eastAsia" w:ascii="宋体" w:hAnsi="宋体" w:eastAsia="宋体" w:cs="宋体"/>
                <w:i w:val="0"/>
                <w:iCs w:val="0"/>
                <w:color w:val="000000"/>
                <w:kern w:val="0"/>
                <w:sz w:val="22"/>
                <w:szCs w:val="22"/>
                <w:u w:val="none"/>
                <w:lang w:val="en-US" w:eastAsia="zh-CN" w:bidi="ar"/>
              </w:rPr>
              <w:t>900</w:t>
            </w:r>
          </w:p>
        </w:tc>
        <w:tc>
          <w:tcPr>
            <w:tcW w:w="1033" w:type="dxa"/>
            <w:vMerge w:val="continue"/>
            <w:tcBorders>
              <w:top w:val="single" w:color="000000" w:sz="4" w:space="0"/>
              <w:bottom w:val="single" w:color="000000" w:sz="4" w:space="0"/>
            </w:tcBorders>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lang w:val="en-US" w:eastAsia="zh-CN"/>
              </w:rPr>
            </w:pPr>
          </w:p>
        </w:tc>
        <w:tc>
          <w:tcPr>
            <w:tcW w:w="1559" w:type="dxa"/>
            <w:tcBorders>
              <w:top w:val="single" w:color="000000" w:sz="4" w:space="0"/>
              <w:bottom w:val="single" w:color="000000" w:sz="4" w:space="0"/>
            </w:tcBorders>
            <w:noWrap w:val="0"/>
            <w:vAlign w:val="center"/>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000000" w:sz="4" w:space="0"/>
              <w:bottom w:val="single" w:color="000000" w:sz="4" w:space="0"/>
              <w:right w:val="single" w:color="000000"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bl>
    <w:p>
      <w:pPr>
        <w:keepNext w:val="0"/>
        <w:keepLines w:val="0"/>
        <w:pageBreakBefore w:val="0"/>
        <w:kinsoku/>
        <w:wordWrap/>
        <w:overflowPunct/>
        <w:topLinePunct w:val="0"/>
        <w:autoSpaceDE/>
        <w:autoSpaceDN/>
        <w:bidi w:val="0"/>
        <w:adjustRightInd/>
        <w:snapToGrid/>
        <w:spacing w:line="480" w:lineRule="exact"/>
        <w:textAlignment w:val="auto"/>
        <w:rPr>
          <w:rFonts w:hint="eastAsia"/>
          <w:highlight w:val="none"/>
          <w:lang w:val="en-US" w:eastAsia="zh-CN"/>
        </w:rPr>
      </w:pPr>
    </w:p>
    <w:p>
      <w:pPr>
        <w:pStyle w:val="7"/>
        <w:keepNext w:val="0"/>
        <w:keepLines w:val="0"/>
        <w:pageBreakBefore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8"/>
        <w:keepNext w:val="0"/>
        <w:keepLines w:val="0"/>
        <w:pageBreakBefore w:val="0"/>
        <w:kinsoku/>
        <w:wordWrap/>
        <w:overflowPunct/>
        <w:topLinePunct w:val="0"/>
        <w:autoSpaceDE/>
        <w:autoSpaceDN/>
        <w:bidi w:val="0"/>
        <w:adjustRightInd/>
        <w:snapToGrid/>
        <w:spacing w:line="480" w:lineRule="exact"/>
        <w:jc w:val="left"/>
        <w:textAlignment w:val="auto"/>
        <w:rPr>
          <w:rFonts w:hint="default"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 xml:space="preserve">    （1）按下浮率报价（保留两位小数，如8.88%），同时填报投标报价（投标报价=最高投标限价*（1-投标下浮率），四舍五入保留两位小数）。当投标报价与投标下浮率计算结果不一致时，以投标下浮率为准，按上述公式修订投标报价。</w:t>
      </w:r>
      <w:r>
        <w:rPr>
          <w:rFonts w:hint="eastAsia" w:ascii="宋体" w:hAnsi="宋体" w:eastAsia="宋体" w:cs="宋体"/>
          <w:b w:val="0"/>
          <w:bCs w:val="0"/>
          <w:color w:val="auto"/>
          <w:kern w:val="2"/>
          <w:sz w:val="24"/>
          <w:szCs w:val="24"/>
          <w:highlight w:val="none"/>
          <w:u w:val="none"/>
          <w:lang w:val="en-US" w:eastAsia="zh-CN" w:bidi="ar-SA"/>
        </w:rPr>
        <w:br w:type="textWrapping"/>
      </w:r>
      <w:r>
        <w:rPr>
          <w:rFonts w:hint="eastAsia" w:ascii="宋体" w:hAnsi="宋体" w:eastAsia="宋体" w:cs="宋体"/>
          <w:b w:val="0"/>
          <w:bCs w:val="0"/>
          <w:color w:val="auto"/>
          <w:kern w:val="2"/>
          <w:sz w:val="24"/>
          <w:szCs w:val="24"/>
          <w:highlight w:val="none"/>
          <w:u w:val="none"/>
          <w:lang w:val="en-US" w:eastAsia="zh-CN" w:bidi="ar-SA"/>
        </w:rPr>
        <w:t xml:space="preserve">    （2）投标下浮率不低于0%为有效报价；当投标下浮率＞10%时应附成本分析报告，充分说明单价和费用的组成、降低成本的合理措施及在其他工程中应用过的经验等，经评审通过后方可视为有效报价。</w:t>
      </w:r>
      <w:r>
        <w:rPr>
          <w:rFonts w:hint="eastAsia" w:ascii="宋体" w:hAnsi="宋体" w:eastAsia="宋体" w:cs="宋体"/>
          <w:b w:val="0"/>
          <w:bCs w:val="0"/>
          <w:color w:val="auto"/>
          <w:kern w:val="2"/>
          <w:sz w:val="24"/>
          <w:szCs w:val="24"/>
          <w:highlight w:val="none"/>
          <w:u w:val="none"/>
          <w:lang w:val="en-US" w:eastAsia="zh-CN" w:bidi="ar-SA"/>
        </w:rPr>
        <w:br w:type="textWrapping"/>
      </w:r>
      <w:r>
        <w:rPr>
          <w:rFonts w:hint="eastAsia" w:ascii="宋体" w:hAnsi="宋体" w:eastAsia="宋体" w:cs="宋体"/>
          <w:b w:val="0"/>
          <w:bCs w:val="0"/>
          <w:color w:val="auto"/>
          <w:kern w:val="2"/>
          <w:sz w:val="24"/>
          <w:szCs w:val="24"/>
          <w:highlight w:val="none"/>
          <w:u w:val="none"/>
          <w:lang w:val="en-US" w:eastAsia="zh-CN" w:bidi="ar-SA"/>
        </w:rPr>
        <w:t xml:space="preserve">    （3）价格分计算时，投标人评标价按（100-投标人填写的下浮数值）参与计算。如：下浮率为1.88％时，评标价按（100-1.88）参与计算。</w:t>
      </w:r>
    </w:p>
    <w:p>
      <w:pPr>
        <w:pStyle w:val="10"/>
        <w:rPr>
          <w:rFonts w:hint="eastAsia"/>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8"/>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本合同采用总价形式，最终合同结算价为：（审定初步设计概算监理费+ 初设概算监理计费范围以外的监理工作费用）×（1-投标下浮率）±合同内约定且实际发生的相关奖罚费用 + 招标代理服务费。                                                            </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keepNext w:val="0"/>
        <w:keepLines w:val="0"/>
        <w:pageBreakBefore w:val="0"/>
        <w:numPr>
          <w:ilvl w:val="0"/>
          <w:numId w:val="0"/>
        </w:numPr>
        <w:kinsoku/>
        <w:wordWrap/>
        <w:overflowPunct/>
        <w:topLinePunct w:val="0"/>
        <w:autoSpaceDE/>
        <w:autoSpaceDN/>
        <w:bidi w:val="0"/>
        <w:adjustRightInd/>
        <w:snapToGrid/>
        <w:spacing w:line="480" w:lineRule="exact"/>
        <w:textAlignment w:val="auto"/>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keepNext w:val="0"/>
        <w:keepLines w:val="0"/>
        <w:pageBreakBefore w:val="0"/>
        <w:numPr>
          <w:ilvl w:val="0"/>
          <w:numId w:val="0"/>
        </w:numPr>
        <w:kinsoku/>
        <w:wordWrap/>
        <w:overflowPunct/>
        <w:topLinePunct w:val="0"/>
        <w:autoSpaceDE/>
        <w:autoSpaceDN/>
        <w:bidi w:val="0"/>
        <w:adjustRightInd/>
        <w:snapToGrid/>
        <w:spacing w:line="480" w:lineRule="exact"/>
        <w:textAlignment w:val="auto"/>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480" w:lineRule="exact"/>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480" w:lineRule="exact"/>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keepNext w:val="0"/>
        <w:keepLines w:val="0"/>
        <w:pageBreakBefore w:val="0"/>
        <w:widowControl w:val="0"/>
        <w:numPr>
          <w:ilvl w:val="0"/>
          <w:numId w:val="0"/>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keepNext w:val="0"/>
        <w:keepLines w:val="0"/>
        <w:pageBreakBefore w:val="0"/>
        <w:widowControl w:val="0"/>
        <w:numPr>
          <w:ilvl w:val="0"/>
          <w:numId w:val="3"/>
        </w:numPr>
        <w:kinsoku/>
        <w:wordWrap/>
        <w:overflowPunct/>
        <w:topLinePunct w:val="0"/>
        <w:bidi w:val="0"/>
        <w:snapToGrid/>
        <w:spacing w:line="480" w:lineRule="exact"/>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eastAsia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（1）工程前期有关文件（可研审批文件）</w:t>
      </w:r>
      <w:r>
        <w:rPr>
          <w:rFonts w:hint="eastAsia" w:asciiTheme="minorEastAsia" w:hAnsiTheme="minorEastAsia" w:eastAsiaTheme="minorEastAsia" w:cstheme="minorEastAsia"/>
          <w:color w:val="auto"/>
          <w:sz w:val="24"/>
          <w:szCs w:val="24"/>
          <w:highlight w:val="none"/>
          <w:lang w:eastAsia="zh-CN"/>
        </w:rPr>
        <w:t>。</w:t>
      </w:r>
      <w:bookmarkStart w:id="8" w:name="_GoBack"/>
      <w:bookmarkEnd w:id="8"/>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76F3B3B"/>
    <w:rsid w:val="07CA37DF"/>
    <w:rsid w:val="07CC3833"/>
    <w:rsid w:val="0BC07002"/>
    <w:rsid w:val="0BD30473"/>
    <w:rsid w:val="0E2F4C02"/>
    <w:rsid w:val="0E3616E0"/>
    <w:rsid w:val="0E937FF7"/>
    <w:rsid w:val="0F81532F"/>
    <w:rsid w:val="0FFC1B47"/>
    <w:rsid w:val="10254F0A"/>
    <w:rsid w:val="107144D2"/>
    <w:rsid w:val="116419AD"/>
    <w:rsid w:val="11794537"/>
    <w:rsid w:val="11CA075E"/>
    <w:rsid w:val="11DF6CFE"/>
    <w:rsid w:val="13383335"/>
    <w:rsid w:val="14440D4B"/>
    <w:rsid w:val="14B666F3"/>
    <w:rsid w:val="15056A61"/>
    <w:rsid w:val="16213750"/>
    <w:rsid w:val="182633AB"/>
    <w:rsid w:val="18E57496"/>
    <w:rsid w:val="1A2D5CFF"/>
    <w:rsid w:val="1A386933"/>
    <w:rsid w:val="1A4F176B"/>
    <w:rsid w:val="1A912F72"/>
    <w:rsid w:val="1B663F82"/>
    <w:rsid w:val="1C2D4629"/>
    <w:rsid w:val="1C43636C"/>
    <w:rsid w:val="1D904223"/>
    <w:rsid w:val="1F653C49"/>
    <w:rsid w:val="1F6C0D31"/>
    <w:rsid w:val="1FF914D4"/>
    <w:rsid w:val="20735046"/>
    <w:rsid w:val="20E0610C"/>
    <w:rsid w:val="216F4D5B"/>
    <w:rsid w:val="22A87321"/>
    <w:rsid w:val="23B738BA"/>
    <w:rsid w:val="24E67795"/>
    <w:rsid w:val="24F737D8"/>
    <w:rsid w:val="25100685"/>
    <w:rsid w:val="26A73075"/>
    <w:rsid w:val="2A5D437A"/>
    <w:rsid w:val="2BA8671A"/>
    <w:rsid w:val="2CA17C08"/>
    <w:rsid w:val="2D335238"/>
    <w:rsid w:val="2D4B28DF"/>
    <w:rsid w:val="2DDF66E3"/>
    <w:rsid w:val="2FF65FF8"/>
    <w:rsid w:val="300D195C"/>
    <w:rsid w:val="30BF37B5"/>
    <w:rsid w:val="31C955A9"/>
    <w:rsid w:val="33B200AF"/>
    <w:rsid w:val="33E61BE2"/>
    <w:rsid w:val="33EC463C"/>
    <w:rsid w:val="34863CEA"/>
    <w:rsid w:val="361736AD"/>
    <w:rsid w:val="36B533E5"/>
    <w:rsid w:val="36D200CF"/>
    <w:rsid w:val="379951F8"/>
    <w:rsid w:val="38382DC3"/>
    <w:rsid w:val="38DE045C"/>
    <w:rsid w:val="39430981"/>
    <w:rsid w:val="3A546240"/>
    <w:rsid w:val="3BF24D81"/>
    <w:rsid w:val="3BFD5DB6"/>
    <w:rsid w:val="3BFE7BEA"/>
    <w:rsid w:val="3C4750A3"/>
    <w:rsid w:val="3C4A35F1"/>
    <w:rsid w:val="3E664B6D"/>
    <w:rsid w:val="3ED7087B"/>
    <w:rsid w:val="3F141BFC"/>
    <w:rsid w:val="42D663F7"/>
    <w:rsid w:val="444D481C"/>
    <w:rsid w:val="44982260"/>
    <w:rsid w:val="44D414C9"/>
    <w:rsid w:val="463F40E0"/>
    <w:rsid w:val="46472D5E"/>
    <w:rsid w:val="470776CE"/>
    <w:rsid w:val="47981849"/>
    <w:rsid w:val="47F24C6A"/>
    <w:rsid w:val="496A657E"/>
    <w:rsid w:val="49843C09"/>
    <w:rsid w:val="4990663D"/>
    <w:rsid w:val="4B3A1BDA"/>
    <w:rsid w:val="4BF83760"/>
    <w:rsid w:val="4C8349B8"/>
    <w:rsid w:val="520D6E5F"/>
    <w:rsid w:val="522826D1"/>
    <w:rsid w:val="52622C38"/>
    <w:rsid w:val="53115540"/>
    <w:rsid w:val="531C7D89"/>
    <w:rsid w:val="55C3156A"/>
    <w:rsid w:val="57114AD6"/>
    <w:rsid w:val="5782183A"/>
    <w:rsid w:val="57BD355E"/>
    <w:rsid w:val="59096C44"/>
    <w:rsid w:val="59997F9C"/>
    <w:rsid w:val="59A5419F"/>
    <w:rsid w:val="5A124CAE"/>
    <w:rsid w:val="5B0320E2"/>
    <w:rsid w:val="5B8B11A7"/>
    <w:rsid w:val="5B9E2EC4"/>
    <w:rsid w:val="5DB75440"/>
    <w:rsid w:val="608606DE"/>
    <w:rsid w:val="610E324A"/>
    <w:rsid w:val="61A876F0"/>
    <w:rsid w:val="61F31EFD"/>
    <w:rsid w:val="62C56FA2"/>
    <w:rsid w:val="63066BC7"/>
    <w:rsid w:val="63D0487B"/>
    <w:rsid w:val="64672037"/>
    <w:rsid w:val="64911DA0"/>
    <w:rsid w:val="65945D8D"/>
    <w:rsid w:val="66C35559"/>
    <w:rsid w:val="67D57489"/>
    <w:rsid w:val="68570F93"/>
    <w:rsid w:val="6927094B"/>
    <w:rsid w:val="69955344"/>
    <w:rsid w:val="6A152DAC"/>
    <w:rsid w:val="6A287B5E"/>
    <w:rsid w:val="6AC87FE6"/>
    <w:rsid w:val="6AEC7882"/>
    <w:rsid w:val="6B161FBD"/>
    <w:rsid w:val="6B303A1A"/>
    <w:rsid w:val="6DAA2FDF"/>
    <w:rsid w:val="6E121228"/>
    <w:rsid w:val="6FC971BF"/>
    <w:rsid w:val="70D1495F"/>
    <w:rsid w:val="70ED510D"/>
    <w:rsid w:val="715B3540"/>
    <w:rsid w:val="71BF565B"/>
    <w:rsid w:val="74695E39"/>
    <w:rsid w:val="754C6F3B"/>
    <w:rsid w:val="75512308"/>
    <w:rsid w:val="757E5B68"/>
    <w:rsid w:val="75B11AFF"/>
    <w:rsid w:val="75D32619"/>
    <w:rsid w:val="765369C1"/>
    <w:rsid w:val="767D6887"/>
    <w:rsid w:val="76F437A2"/>
    <w:rsid w:val="780B6A75"/>
    <w:rsid w:val="79F83E18"/>
    <w:rsid w:val="7A262145"/>
    <w:rsid w:val="7AFF4689"/>
    <w:rsid w:val="7BEC3F2B"/>
    <w:rsid w:val="7D0F76D8"/>
    <w:rsid w:val="7E3420E0"/>
    <w:rsid w:val="7E535DCD"/>
    <w:rsid w:val="7F0408B2"/>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dcterms:modified xsi:type="dcterms:W3CDTF">2026-03-11T02:09:14Z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8A8C54658E2D41C7A1BB357F29FDF6BB</vt:lpwstr>
  </property>
</Properties>
</file>